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r w:rsidDel="00000000" w:rsidR="00000000" w:rsidRPr="00000000">
                                        <w:rPr>
                                          <w:rFonts w:ascii="Arial" w:cs="Arial" w:eastAsia="Arial" w:hAnsi="Arial"/>
                                          <w:b w:val="1"/>
                                          <w:i w:val="0"/>
                                          <w:smallCaps w:val="0"/>
                                          <w:strike w:val="0"/>
                                          <w:color w:val="000000"/>
                                          <w:sz w:val="72"/>
                                          <w:vertAlign w:val="baseline"/>
                                        </w:rPr>
                                        <w:t xml:space="preserve">Award Form</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-474976</wp:posOffset>
            </wp:positionH>
            <wp:positionV relativeFrom="paragraph">
              <wp:posOffset>504825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Award Form creates the Framework Contract RM6364. It summarises the main features of the procurement and includes CCS and the Supplier’s contact details.</w:t>
      </w:r>
    </w:p>
    <w:tbl>
      <w:tblPr>
        <w:tblStyle w:val="Table1"/>
        <w:tblW w:w="9640.0" w:type="dxa"/>
        <w:jc w:val="left"/>
        <w:tblInd w:w="-294.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710"/>
        <w:gridCol w:w="2693"/>
        <w:gridCol w:w="6237"/>
        <w:tblGridChange w:id="0">
          <w:tblGrid>
            <w:gridCol w:w="710"/>
            <w:gridCol w:w="2693"/>
            <w:gridCol w:w="6237"/>
          </w:tblGrid>
        </w:tblGridChange>
      </w:tblGrid>
      <w:tr>
        <w:trPr>
          <w:cantSplit w:val="0"/>
          <w:trHeight w:val="1072" w:hRule="atLeast"/>
          <w:tblHeader w:val="0"/>
        </w:trPr>
        <w:tc>
          <w:tcPr/>
          <w:p w:rsidR="00000000" w:rsidDel="00000000" w:rsidP="00000000" w:rsidRDefault="00000000" w:rsidRPr="00000000" w14:paraId="0000000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Minister for the Cabinet Office represented by its executive agency the Crown Commercial Service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on: 9th Floor, The Capital, Old Hall Street, Liverpool L3 9PP.</w:t>
            </w:r>
          </w:p>
        </w:tc>
      </w:tr>
      <w:tr>
        <w:trPr>
          <w:cantSplit w:val="0"/>
          <w:trHeight w:val="976" w:hRule="atLeast"/>
          <w:tblHeader w:val="0"/>
        </w:trPr>
        <w:tc>
          <w:tcPr/>
          <w:p w:rsidR="00000000" w:rsidDel="00000000" w:rsidP="00000000" w:rsidRDefault="00000000" w:rsidRPr="00000000" w14:paraId="0000000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64"/>
              <w:gridCol w:w="4206"/>
              <w:tblGridChange w:id="0">
                <w:tblGrid>
                  <w:gridCol w:w="1464"/>
                  <w:gridCol w:w="4206"/>
                </w:tblGrid>
              </w:tblGridChange>
            </w:tblGrid>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Name]</w:t>
                  </w:r>
                </w:p>
              </w:tc>
            </w:tr>
            <w:tr>
              <w:trPr>
                <w:cantSplit w:val="0"/>
                <w:trHeight w:val="410.9765625" w:hRule="atLeast"/>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 </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Registry:</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color w:val="000000"/>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Companies House</w:t>
                  </w:r>
                  <w:r w:rsidDel="00000000" w:rsidR="00000000" w:rsidRPr="00000000">
                    <w:rPr>
                      <w:color w:val="00000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Registration number: </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Registration]</w:t>
                  </w:r>
                  <w:r w:rsidDel="00000000" w:rsidR="00000000" w:rsidRPr="00000000">
                    <w:rPr>
                      <w:rtl w:val="0"/>
                    </w:rPr>
                  </w:r>
                </w:p>
              </w:tc>
            </w:tr>
          </w:tb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2.9999999999999982"/>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Details</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This Framework Contract has been entered into between CCS and the Supplier in respect of the Framework. The Framework was advertised in a Tender Notice published on the central digital platform with reference 2025/S 000-028518.</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This Framework is not a framework within a scheme of an “Open Framework” within the meaning of section 49 of the Procurement Act 2023.</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The unique identifier (OCID) for this Framework is: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ocds-h6vhtk-0502d0</w:t>
            </w:r>
          </w:p>
        </w:tc>
      </w:tr>
      <w:tr>
        <w:trPr>
          <w:cantSplit w:val="0"/>
          <w:trHeight w:val="1446" w:hRule="atLeast"/>
          <w:tblHeader w:val="0"/>
        </w:trPr>
        <w:tc>
          <w:tcPr/>
          <w:p w:rsidR="00000000" w:rsidDel="00000000" w:rsidP="00000000" w:rsidRDefault="00000000" w:rsidRPr="00000000" w14:paraId="000000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2.9999999999999982"/>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Contract between CCS and the Supplier allows the Supplier to be considered for Call-Off Contracts to supply the Deliverables in Lot(s) 4, 5, 6 &amp; 8. The Supplier cannot deliver in any other Lot under this Framework Contract. Any references made to other Lots in this Framework Contract do not apply. </w:t>
            </w:r>
          </w:p>
        </w:tc>
      </w:tr>
      <w:tr>
        <w:trPr>
          <w:cantSplit w:val="0"/>
          <w:trHeight w:val="327" w:hRule="atLeast"/>
          <w:tblHeader w:val="0"/>
        </w:trPr>
        <w:tc>
          <w:tcPr/>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 and creative services across the following Lots: </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1 - Media Strategy, Planning &amp; Buying</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2 - Out of Home Media Buying</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3 - Media Strategy and Planning</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4 - Creative Strategy and Development</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5 - Content Production</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6 - Events</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7 - Integrated End to end Marketing</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Lot 8 - Marketing Audit and Advice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further details.</w:t>
            </w:r>
          </w:p>
        </w:tc>
      </w:tr>
      <w:tr>
        <w:trPr>
          <w:cantSplit w:val="0"/>
          <w:trHeight w:val="463" w:hRule="atLeast"/>
          <w:tblHeader w:val="0"/>
        </w:trPr>
        <w:tc>
          <w:tcPr/>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highlight w:val="cya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15/01/2025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14/01/2030</w:t>
            </w:r>
          </w:p>
        </w:tc>
      </w:tr>
      <w:tr>
        <w:trPr>
          <w:cantSplit w:val="0"/>
          <w:trHeight w:val="471" w:hRule="atLeast"/>
          <w:tblHeader w:val="0"/>
        </w:trPr>
        <w:tc>
          <w:tcPr/>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applicable</w:t>
            </w:r>
          </w:p>
        </w:tc>
      </w:tr>
      <w:tr>
        <w:trPr>
          <w:cantSplit w:val="0"/>
          <w:trHeight w:val="837" w:hRule="atLeast"/>
          <w:tblHeader w:val="0"/>
        </w:trPr>
        <w:tc>
          <w:tcPr/>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Order Procedure</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Award Without Competition</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Single Stage Competitive Selection Process</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Two Stage Competitive Selection Process</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Multi Stage Competitive Selection Process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definitions of the above term(s) and descriptions of the relevant processes and applicability of these options to relevant Lots.</w:t>
            </w:r>
          </w:p>
        </w:tc>
      </w:tr>
      <w:tr>
        <w:trPr>
          <w:cantSplit w:val="0"/>
          <w:trHeight w:val="231" w:hRule="atLeast"/>
          <w:tblHeader w:val="0"/>
        </w:trPr>
        <w:tc>
          <w:tcPr/>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Incorporated Terms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these documents form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Award Form</w:t>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Framework Special Terms (see Section 11 ‘Framework Special Terms’ in this Framework Award Form)</w:t>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RM6364</w:t>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RM6364</w:t>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Schedules for RM6364 (in equal order of precedence):</w:t>
            </w:r>
          </w:p>
          <w:p w:rsidR="00000000" w:rsidDel="00000000" w:rsidP="00000000" w:rsidRDefault="00000000" w:rsidRPr="00000000" w14:paraId="0000005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including the following template Call-Off Schedules: </w:t>
            </w:r>
          </w:p>
          <w:p w:rsidR="00000000" w:rsidDel="00000000" w:rsidP="00000000" w:rsidRDefault="00000000" w:rsidRPr="00000000" w14:paraId="0000005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Tender)</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(Pricing Details)</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Supplier Staff)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(Business Continuity and Disaster Recovery)</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3"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9A (Security – Short Form) </w:t>
            </w:r>
          </w:p>
          <w:p w:rsidR="00000000" w:rsidDel="00000000" w:rsidP="00000000" w:rsidRDefault="00000000" w:rsidRPr="00000000" w14:paraId="0000006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3"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9B (Security – Consultancy) </w:t>
            </w:r>
          </w:p>
          <w:p w:rsidR="00000000" w:rsidDel="00000000" w:rsidP="00000000" w:rsidRDefault="00000000" w:rsidRPr="00000000" w14:paraId="0000006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3"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9C (Security – Development) </w:t>
            </w:r>
          </w:p>
          <w:p w:rsidR="00000000" w:rsidDel="00000000" w:rsidP="00000000" w:rsidRDefault="00000000" w:rsidRPr="00000000" w14:paraId="0000006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3"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9D (Security – Supplier-led Assurance) </w:t>
            </w:r>
          </w:p>
          <w:p w:rsidR="00000000" w:rsidDel="00000000" w:rsidP="00000000" w:rsidRDefault="00000000" w:rsidRPr="00000000" w14:paraId="0000006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9E (Security – Buyer-led Assurance) </w:t>
            </w:r>
          </w:p>
          <w:p w:rsidR="00000000" w:rsidDel="00000000" w:rsidP="00000000" w:rsidRDefault="00000000" w:rsidRPr="00000000" w14:paraId="0000006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(Implementation Plan and Testing)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14A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 for Lots 1 &amp; 2)</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14B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 for Lots 3 – 8)</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Contract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(MOD Terms)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(Background Checks)</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(Scottish Law)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Specification)</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(Northern Ireland Law)</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(HMRC Terms)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(Corporate Resolution Planning)</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(Additional Sustainability Requirements)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(Carbon Reduction)</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28 (Briefing Forms)</w:t>
            </w:r>
          </w:p>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(Self Audit Certificate)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(Cyber Essentials Scheme)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10 (Staff Transfer)</w:t>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(Variation Form)</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(Financial Difficulties)</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(Rectification Plan)</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General Terms version 1.0 PA</w:t>
            </w:r>
          </w:p>
          <w:p w:rsidR="00000000" w:rsidDel="00000000" w:rsidP="00000000" w:rsidRDefault="00000000" w:rsidRPr="00000000" w14:paraId="0000008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RM6364 as long as any part of the Framework Tender that offers a better commercial position for CCS or Buyers (as decided by CCS) take precedence over the documents above.</w:t>
            </w:r>
          </w:p>
        </w:tc>
      </w:tr>
      <w:tr>
        <w:trPr>
          <w:cantSplit w:val="0"/>
          <w:trHeight w:val="940" w:hRule="atLeast"/>
          <w:tblHeader w:val="0"/>
        </w:trPr>
        <w:tc>
          <w:tcPr>
            <w:vMerge w:val="restart"/>
          </w:tcPr>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Term 1 -</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following term is only applicable in relation to Lots 4, 6, and 7:</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Supplier doing work for others </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Adverse public perception could have a detrimental impact on the Buyer’ desired outcomes for a Call-Off Contract. To minimise this risk, the Supplier must not, without the Buyer’s written consent, provide services to a third party during the Contract Period of any Call-Off Contract where the provision of such services (in the reasonable opinion of the Buyer):</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68" w:right="0" w:hanging="828.0000000000001"/>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has the potential to adversely affect the Buyer’s desired outcome of the Call-Off Contract or diminish the trust that the public places in the Buyer; or</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68" w:right="0" w:hanging="828.0000000000001"/>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is likely to cause embarrassment to the Buyer or bring the Buyer into disrepute or may result in a conflict of interest for the Buyer.</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only exception to this is if the Supplier provides services to an existing client, which the Buyer had been informed about before entering into the relevant Call-Off Contract.</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If the Supplier becomes aware of a breach, or potential breach, of its obligations under Clause 4.1 of the General Terms, the Supplier must notify the Buyer immediately, providing full details of the nature of the breach and the likely impact on the Call-Off Contract.</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If the Supplier breaches Clause 1.1 of this Special Term, the Buyer may terminate the relevant Call-Off Contract or any Order under it with immediate effect in accordance with Clause 13.3.1 of the General Terms.</w:t>
            </w:r>
          </w:p>
        </w:tc>
      </w:tr>
      <w:tr>
        <w:trPr>
          <w:cantSplit w:val="0"/>
          <w:trHeight w:val="666" w:hRule="atLeast"/>
          <w:tblHeader w:val="0"/>
        </w:trPr>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Term 2</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Details in Annex 1 to the Framework Award Form</w:t>
            </w:r>
          </w:p>
        </w:tc>
      </w:tr>
      <w:tr>
        <w:trPr>
          <w:cantSplit w:val="0"/>
          <w:trHeight w:val="55" w:hRule="atLeast"/>
          <w:tblHeader w:val="0"/>
        </w:trPr>
        <w:tc>
          <w:tcPr/>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in Annex of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rHeight w:val="939" w:hRule="atLeast"/>
          <w:tblHeader w:val="0"/>
        </w:trPr>
        <w:tc>
          <w:tcPr/>
          <w:p w:rsidR="00000000" w:rsidDel="00000000" w:rsidP="00000000" w:rsidRDefault="00000000" w:rsidRPr="00000000" w14:paraId="000000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Certification</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Scheme Plus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Intellectual Property Rights</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expressly stated otherwise in the Order Form, the terms of Joint Schedule 11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to all Call-Off Contracts.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pay, excluding VAT, the Management Charge of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A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Framework Manager</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r>
        <w:trPr>
          <w:cantSplit w:val="0"/>
          <w:trHeight w:val="435" w:hRule="atLeast"/>
          <w:tblHeader w:val="0"/>
        </w:trPr>
        <w:tc>
          <w:tcPr/>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r>
        <w:trPr>
          <w:cantSplit w:val="0"/>
          <w:trHeight w:val="1017" w:hRule="atLeast"/>
          <w:tblHeader w:val="0"/>
        </w:trPr>
        <w:tc>
          <w:tcPr/>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£10,000,000</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applicable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tbl>
      <w:tblPr>
        <w:tblStyle w:val="Table3"/>
        <w:tblW w:w="10485.0" w:type="dxa"/>
        <w:jc w:val="left"/>
        <w:tblInd w:w="-73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65"/>
        <w:gridCol w:w="3195"/>
        <w:gridCol w:w="1485"/>
        <w:gridCol w:w="3540"/>
        <w:tblGridChange w:id="0">
          <w:tblGrid>
            <w:gridCol w:w="2265"/>
            <w:gridCol w:w="3195"/>
            <w:gridCol w:w="1485"/>
            <w:gridCol w:w="3540"/>
          </w:tblGrid>
        </w:tblGridChange>
      </w:tblGrid>
      <w:tr>
        <w:trPr>
          <w:cantSplit w:val="0"/>
          <w:trHeight w:val="635" w:hRule="atLeast"/>
          <w:tblHeader w:val="0"/>
        </w:trPr>
        <w:tc>
          <w:tcPr>
            <w:gridSpan w:val="2"/>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shd w:fill="auto" w:val="clear"/>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color w:val="ffffff"/>
                <w:rtl w:val="0"/>
              </w:rPr>
              <w:t xml:space="preserve"> }}</w:t>
            </w: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jc w:val="both"/>
              <w:rPr>
                <w:rFonts w:ascii="Calibri" w:cs="Calibri" w:eastAsia="Calibri" w:hAnsi="Calibri"/>
                <w:b w:val="1"/>
                <w:bCs w:val="1"/>
                <w:color w:val="ffffff"/>
              </w:rPr>
            </w:pPr>
            <w:r w:rsidDel="00000000" w:rsidR="00000000" w:rsidRPr="00000000">
              <w:rPr>
                <w:rFonts w:ascii="Calibri" w:cs="Calibri" w:eastAsia="Calibri" w:hAnsi="Calibri"/>
                <w:b w:val="1"/>
                <w:bCs w:val="1"/>
                <w:color w:val="000000"/>
                <w:rtl w:val="0"/>
              </w:rPr>
              <w:t xml:space="preserve">[Date]</w:t>
            </w: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rFonts w:ascii="Calibri" w:cs="Calibri" w:eastAsia="Calibri" w:hAnsi="Calibri"/>
                <w:b w:val="1"/>
                <w:bCs w:val="1"/>
                <w:color w:val="000000"/>
                <w:rtl w:val="0"/>
              </w:rPr>
              <w:t xml:space="preserve">[Date]</w:t>
            </w:r>
            <w:r w:rsidDel="00000000" w:rsidR="00000000" w:rsidRPr="00000000">
              <w:rPr>
                <w:rtl w:val="0"/>
              </w:rPr>
            </w:r>
          </w:p>
        </w:tc>
      </w:tr>
    </w:tbl>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RM6364</w:t>
      <w:tab/>
      <w:t xml:space="preserve">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DOCPROPERTY "iManageFooter"</w:instrText>
      <w:fldChar w:fldCharType="separate"/>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74218538v</w:t>
    </w:r>
    <w:r w:rsidDel="00000000" w:rsidR="00000000" w:rsidRPr="00000000">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Award Form</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Crown Copyright 2025</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bCs w:val="0"/>
        <w:i w:val="0"/>
        <w:iCs w:val="0"/>
        <w:smallCaps w:val="0"/>
        <w:sz w:val="24"/>
        <w:szCs w:val="24"/>
      </w:rPr>
    </w:lvl>
    <w:lvl w:ilvl="2">
      <w:start w:val="1"/>
      <w:numFmt w:val="decimal"/>
      <w:lvlText w:val="%1.%2.%3"/>
      <w:lvlJc w:val="left"/>
      <w:pPr>
        <w:ind w:left="2268" w:hanging="828"/>
      </w:pPr>
      <w:rPr>
        <w:b w:val="0"/>
        <w:bCs w:val="0"/>
        <w:smallCaps w:val="0"/>
        <w:strike w:val="0"/>
        <w:u w:val="none"/>
      </w:rPr>
    </w:lvl>
    <w:lvl w:ilvl="3">
      <w:start w:val="1"/>
      <w:numFmt w:val="lowerLetter"/>
      <w:lvlText w:val="(%4)"/>
      <w:lvlJc w:val="left"/>
      <w:pPr>
        <w:ind w:left="2835" w:hanging="567"/>
      </w:pPr>
      <w:rPr>
        <w:b w:val="0"/>
        <w:bCs w:val="0"/>
        <w:i w:val="0"/>
        <w:iCs w:val="0"/>
        <w:smallCaps w:val="0"/>
      </w:rPr>
    </w:lvl>
    <w:lvl w:ilvl="4">
      <w:start w:val="1"/>
      <w:numFmt w:val="lowerRoman"/>
      <w:lvlText w:val="(%5)"/>
      <w:lvlJc w:val="left"/>
      <w:pPr>
        <w:ind w:left="3401" w:hanging="283"/>
      </w:pPr>
      <w:rPr>
        <w:smallCaps w:val="0"/>
      </w:rPr>
    </w:lvl>
    <w:lvl w:ilvl="5">
      <w:start w:val="1"/>
      <w:numFmt w:val="upperLetter"/>
      <w:lvlText w:val="(%6)"/>
      <w:lvlJc w:val="left"/>
      <w:pPr>
        <w:ind w:left="3969" w:hanging="567"/>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4">
    <w:lvl w:ilvl="0">
      <w:start w:val="1"/>
      <w:numFmt w:val="decimal"/>
      <w:lvlText w:val="%1."/>
      <w:lvlJc w:val="left"/>
      <w:pPr>
        <w:ind w:left="644" w:hanging="357.9999999999999"/>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790" w:hanging="360"/>
      </w:pPr>
      <w:rPr>
        <w:rFonts w:ascii="Courier New" w:cs="Courier New" w:eastAsia="Courier New" w:hAnsi="Courier New"/>
      </w:rPr>
    </w:lvl>
    <w:lvl w:ilvl="2">
      <w:start w:val="1"/>
      <w:numFmt w:val="bullet"/>
      <w:lvlText w:val="▪"/>
      <w:lvlJc w:val="left"/>
      <w:pPr>
        <w:ind w:left="3510" w:hanging="360"/>
      </w:pPr>
      <w:rPr>
        <w:rFonts w:ascii="Noto Sans Symbols" w:cs="Noto Sans Symbols" w:eastAsia="Noto Sans Symbols" w:hAnsi="Noto Sans Symbols"/>
      </w:rPr>
    </w:lvl>
    <w:lvl w:ilvl="3">
      <w:start w:val="1"/>
      <w:numFmt w:val="bullet"/>
      <w:lvlText w:val="●"/>
      <w:lvlJc w:val="left"/>
      <w:pPr>
        <w:ind w:left="4230" w:hanging="360"/>
      </w:pPr>
      <w:rPr>
        <w:rFonts w:ascii="Noto Sans Symbols" w:cs="Noto Sans Symbols" w:eastAsia="Noto Sans Symbols" w:hAnsi="Noto Sans Symbols"/>
      </w:rPr>
    </w:lvl>
    <w:lvl w:ilvl="4">
      <w:start w:val="1"/>
      <w:numFmt w:val="bullet"/>
      <w:lvlText w:val="o"/>
      <w:lvlJc w:val="left"/>
      <w:pPr>
        <w:ind w:left="4950" w:hanging="360"/>
      </w:pPr>
      <w:rPr>
        <w:rFonts w:ascii="Courier New" w:cs="Courier New" w:eastAsia="Courier New" w:hAnsi="Courier New"/>
      </w:rPr>
    </w:lvl>
    <w:lvl w:ilvl="5">
      <w:start w:val="1"/>
      <w:numFmt w:val="bullet"/>
      <w:lvlText w:val="▪"/>
      <w:lvlJc w:val="left"/>
      <w:pPr>
        <w:ind w:left="5670" w:hanging="360"/>
      </w:pPr>
      <w:rPr>
        <w:rFonts w:ascii="Noto Sans Symbols" w:cs="Noto Sans Symbols" w:eastAsia="Noto Sans Symbols" w:hAnsi="Noto Sans Symbols"/>
      </w:rPr>
    </w:lvl>
    <w:lvl w:ilvl="6">
      <w:start w:val="1"/>
      <w:numFmt w:val="bullet"/>
      <w:lvlText w:val="●"/>
      <w:lvlJc w:val="left"/>
      <w:pPr>
        <w:ind w:left="6390" w:hanging="360"/>
      </w:pPr>
      <w:rPr>
        <w:rFonts w:ascii="Noto Sans Symbols" w:cs="Noto Sans Symbols" w:eastAsia="Noto Sans Symbols" w:hAnsi="Noto Sans Symbols"/>
      </w:rPr>
    </w:lvl>
    <w:lvl w:ilvl="7">
      <w:start w:val="1"/>
      <w:numFmt w:val="bullet"/>
      <w:lvlText w:val="o"/>
      <w:lvlJc w:val="left"/>
      <w:pPr>
        <w:ind w:left="7110" w:hanging="360"/>
      </w:pPr>
      <w:rPr>
        <w:rFonts w:ascii="Courier New" w:cs="Courier New" w:eastAsia="Courier New" w:hAnsi="Courier New"/>
      </w:rPr>
    </w:lvl>
    <w:lvl w:ilvl="8">
      <w:start w:val="1"/>
      <w:numFmt w:val="bullet"/>
      <w:lvlText w:val="▪"/>
      <w:lvlJc w:val="left"/>
      <w:pPr>
        <w:ind w:left="7830" w:hanging="360"/>
      </w:pPr>
      <w:rPr>
        <w:rFonts w:ascii="Noto Sans Symbols" w:cs="Noto Sans Symbols" w:eastAsia="Noto Sans Symbols" w:hAnsi="Noto Sans Symbols"/>
      </w:rPr>
    </w:lvl>
  </w:abstractNum>
  <w:abstractNum w:abstractNumId="6">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85"/>
      </w:tabs>
      <w:spacing w:after="120" w:before="0" w:line="240" w:lineRule="auto"/>
      <w:ind w:left="360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987"/>
        <w:tab w:val="left" w:leader="none" w:pos="-8420"/>
      </w:tabs>
      <w:spacing w:after="120" w:before="0" w:line="240" w:lineRule="auto"/>
      <w:ind w:left="360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Heading7">
    <w:name w:val="heading 7"/>
    <w:basedOn w:val="Heading6"/>
    <w:pPr>
      <w:numPr>
        <w:ilvl w:val="6"/>
      </w:numPr>
      <w:tabs>
        <w:tab w:val="clear" w:pos="-8987"/>
        <w:tab w:val="clear" w:pos="-8420"/>
        <w:tab w:val="left" w:pos="-10688"/>
        <w:tab w:val="left" w:pos="-9554"/>
      </w:tabs>
      <w:ind w:left="3600" w:hanging="360"/>
      <w:outlineLvl w:val="6"/>
    </w:pPr>
  </w:style>
  <w:style w:type="paragraph" w:styleId="Heading8">
    <w:name w:val="heading 8"/>
    <w:basedOn w:val="Heading7"/>
    <w:pPr>
      <w:numPr>
        <w:ilvl w:val="7"/>
      </w:numPr>
      <w:tabs>
        <w:tab w:val="clear" w:pos="-9554"/>
        <w:tab w:val="left" w:pos="-12360"/>
        <w:tab w:val="left" w:pos="-9383"/>
      </w:tabs>
      <w:ind w:left="3600" w:hanging="360"/>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Normal1" w:customStyle="1">
    <w:name w:val="Normal1"/>
  </w:style>
  <w:style w:type="table" w:styleId="TableNormal00" w:customStyle="1">
    <w:name w:val="TableNormal_0"/>
    <w:tblPr>
      <w:tblCellMar>
        <w:top w:w="100.0" w:type="dxa"/>
        <w:left w:w="100.0" w:type="dxa"/>
        <w:bottom w:w="100.0" w:type="dxa"/>
        <w:right w:w="100.0" w:type="dxa"/>
      </w:tblCellMar>
    </w:tblPr>
  </w:style>
  <w:style w:type="paragraph" w:styleId="normal0" w:customStyle="1">
    <w:name w:val="normal_0"/>
  </w:style>
  <w:style w:type="numbering" w:styleId="WWOutlineListStyle8" w:customStyle="1">
    <w:name w:val="WW_OutlineListStyle_8"/>
    <w:basedOn w:val="NoList"/>
  </w:style>
  <w:style w:type="paragraph" w:styleId="Level1Heading" w:customStyle="1">
    <w:name w:val="Level 1 Heading"/>
    <w:basedOn w:val="BodyText"/>
    <w:next w:val="normal0"/>
    <w:pPr>
      <w:keepNext w:val="1"/>
      <w:tabs>
        <w:tab w:val="left" w:pos="-1342"/>
      </w:tabs>
      <w:spacing w:after="200" w:before="360" w:line="360" w:lineRule="auto"/>
      <w:outlineLvl w:val="0"/>
    </w:pPr>
    <w:rPr>
      <w:rFonts w:eastAsia="Times New Roman"/>
      <w:b w:val="1"/>
      <w:szCs w:val="20"/>
    </w:rPr>
  </w:style>
  <w:style w:type="paragraph" w:styleId="GPSL1CLAUSEHEADING" w:customStyle="1">
    <w:name w:val="GPS L1 CLAUSE HEADING"/>
    <w:basedOn w:val="normal0"/>
    <w:next w:val="normal0"/>
    <w:qFormat w:val="1"/>
    <w:pPr>
      <w:tabs>
        <w:tab w:val="left" w:pos="-3864"/>
      </w:tabs>
      <w:spacing w:after="240" w:before="240" w:line="240" w:lineRule="auto"/>
      <w:jc w:val="both"/>
      <w:outlineLvl w:val="1"/>
    </w:pPr>
    <w:rPr>
      <w:rFonts w:ascii="Arial Bold"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0"/>
    <w:qFormat w:val="1"/>
    <w:pPr>
      <w:tabs>
        <w:tab w:val="left" w:pos="1134"/>
      </w:tabs>
      <w:spacing w:after="120" w:before="120" w:line="240" w:lineRule="auto"/>
      <w:ind w:left="1494" w:hanging="218"/>
      <w:jc w:val="both"/>
    </w:pPr>
    <w:rPr>
      <w:rFonts w:eastAsia="Times New Roman"/>
      <w:b w:val="1"/>
      <w:lang w:eastAsia="zh-CN"/>
    </w:rPr>
  </w:style>
  <w:style w:type="paragraph" w:styleId="BodyText1" w:customStyle="1">
    <w:name w:val="Body Text 1"/>
    <w:basedOn w:val="BodyText"/>
    <w:pPr>
      <w:spacing w:after="240" w:line="360" w:lineRule="auto"/>
      <w:ind w:left="851"/>
    </w:pPr>
    <w:rPr>
      <w:rFonts w:eastAsia="Times New Roman"/>
      <w:sz w:val="20"/>
      <w:szCs w:val="20"/>
    </w:rPr>
  </w:style>
  <w:style w:type="paragraph" w:styleId="ListParagraph">
    <w:name w:val="List Paragraph"/>
    <w:basedOn w:val="normal0"/>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0"/>
    <w:qFormat w:val="1"/>
    <w:pPr>
      <w:numPr>
        <w:numId w:val="6"/>
      </w:numPr>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0"/>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0"/>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0"/>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0"/>
    <w:pPr>
      <w:keepNext w:val="1"/>
      <w:spacing w:after="120" w:before="240" w:line="240" w:lineRule="auto"/>
      <w:ind w:left="142"/>
      <w:jc w:val="both"/>
    </w:pPr>
    <w:rPr>
      <w:rFonts w:eastAsia="STZhongsong"/>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0"/>
    <w:qFormat w:val="1"/>
    <w:pPr>
      <w:tabs>
        <w:tab w:val="left" w:pos="1134"/>
      </w:tabs>
      <w:spacing w:after="120" w:before="120" w:line="240" w:lineRule="auto"/>
      <w:ind w:left="1134" w:hanging="567"/>
      <w:jc w:val="both"/>
    </w:pPr>
    <w:rPr>
      <w:rFonts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0"/>
    <w:link w:val="CommentTextChar1"/>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style>
  <w:style w:type="paragraph" w:styleId="GPsDefinition" w:customStyle="1">
    <w:name w:val="GPs Definition"/>
    <w:basedOn w:val="normal0"/>
    <w:pPr>
      <w:tabs>
        <w:tab w:val="left" w:pos="-179"/>
      </w:tabs>
      <w:overflowPunct w:val="0"/>
      <w:autoSpaceDE w:val="0"/>
      <w:spacing w:after="120" w:line="240" w:lineRule="auto"/>
      <w:jc w:val="both"/>
    </w:pPr>
    <w:rPr>
      <w:rFonts w:eastAsia="Times New Roman"/>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0"/>
    <w:pPr>
      <w:overflowPunct w:val="0"/>
      <w:autoSpaceDE w:val="0"/>
      <w:spacing w:after="240" w:line="240" w:lineRule="auto"/>
      <w:ind w:left="1418"/>
      <w:jc w:val="both"/>
    </w:pPr>
    <w:rPr>
      <w:rFonts w:eastAsia="Times New Roman"/>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0"/>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pacing w:after="200" w:before="360" w:line="360" w:lineRule="auto"/>
      <w:outlineLvl w:val="1"/>
    </w:pPr>
    <w:rPr>
      <w:rFonts w:eastAsia="Times New Roman"/>
      <w:b w:val="1"/>
      <w:sz w:val="20"/>
      <w:szCs w:val="20"/>
    </w:rPr>
  </w:style>
  <w:style w:type="paragraph" w:styleId="Level3Number" w:customStyle="1">
    <w:name w:val="Level 3 Number"/>
    <w:basedOn w:val="BodyText"/>
    <w:pPr>
      <w:tabs>
        <w:tab w:val="left" w:pos="360"/>
      </w:tabs>
      <w:spacing w:after="200" w:before="360" w:line="360" w:lineRule="auto"/>
    </w:pPr>
    <w:rPr>
      <w:rFonts w:eastAsia="Times New Roman"/>
      <w:sz w:val="20"/>
      <w:szCs w:val="20"/>
    </w:rPr>
  </w:style>
  <w:style w:type="paragraph" w:styleId="Level4Number" w:customStyle="1">
    <w:name w:val="Level 4 Number"/>
    <w:basedOn w:val="BodyText"/>
    <w:pPr>
      <w:tabs>
        <w:tab w:val="left" w:pos="360"/>
      </w:tabs>
      <w:spacing w:after="200" w:before="360" w:line="360" w:lineRule="auto"/>
    </w:pPr>
    <w:rPr>
      <w:rFonts w:eastAsia="Times New Roman"/>
      <w:sz w:val="20"/>
      <w:szCs w:val="20"/>
    </w:rPr>
  </w:style>
  <w:style w:type="paragraph" w:styleId="Level5Number" w:customStyle="1">
    <w:name w:val="Level 5 Number"/>
    <w:basedOn w:val="BodyText"/>
    <w:pPr>
      <w:tabs>
        <w:tab w:val="left" w:pos="360"/>
      </w:tabs>
      <w:spacing w:after="240" w:line="360" w:lineRule="auto"/>
    </w:pPr>
    <w:rPr>
      <w:rFonts w:eastAsia="Times New Roman"/>
      <w:sz w:val="20"/>
      <w:szCs w:val="20"/>
    </w:rPr>
  </w:style>
  <w:style w:type="paragraph" w:styleId="Level6Number" w:customStyle="1">
    <w:name w:val="Level 6 Number"/>
    <w:basedOn w:val="BodyText"/>
    <w:pPr>
      <w:tabs>
        <w:tab w:val="left" w:pos="360"/>
      </w:tabs>
      <w:spacing w:after="240" w:line="360" w:lineRule="auto"/>
    </w:pPr>
    <w:rPr>
      <w:rFonts w:eastAsia="Times New Roman"/>
      <w:sz w:val="20"/>
      <w:szCs w:val="20"/>
    </w:rPr>
  </w:style>
  <w:style w:type="paragraph" w:styleId="Level7Number" w:customStyle="1">
    <w:name w:val="Level 7 Number"/>
    <w:basedOn w:val="BodyText"/>
    <w:pPr>
      <w:tabs>
        <w:tab w:val="left" w:pos="360"/>
      </w:tabs>
      <w:spacing w:after="240" w:line="360" w:lineRule="auto"/>
    </w:pPr>
    <w:rPr>
      <w:rFonts w:eastAsia="Times New Roman"/>
      <w:sz w:val="20"/>
      <w:szCs w:val="20"/>
    </w:rPr>
  </w:style>
  <w:style w:type="paragraph" w:styleId="Level8Number" w:customStyle="1">
    <w:name w:val="Level 8 Number"/>
    <w:basedOn w:val="BodyText"/>
    <w:pPr>
      <w:tabs>
        <w:tab w:val="left" w:pos="-3895"/>
        <w:tab w:val="num" w:pos="720"/>
      </w:tabs>
      <w:spacing w:after="240" w:line="360" w:lineRule="auto"/>
      <w:ind w:left="720" w:hanging="720"/>
    </w:pPr>
    <w:rPr>
      <w:rFonts w:eastAsia="Times New Roman"/>
      <w:sz w:val="20"/>
      <w:szCs w:val="20"/>
    </w:rPr>
  </w:style>
  <w:style w:type="paragraph" w:styleId="BodyText2">
    <w:name w:val="Body Text 2"/>
    <w:basedOn w:val="normal0"/>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0"/>
    <w:pPr>
      <w:tabs>
        <w:tab w:val="left" w:pos="3402"/>
      </w:tabs>
      <w:overflowPunct w:val="0"/>
      <w:autoSpaceDE w:val="0"/>
      <w:spacing w:after="220" w:line="240" w:lineRule="auto"/>
      <w:ind w:left="1134"/>
      <w:jc w:val="both"/>
    </w:pPr>
    <w:rPr>
      <w:rFonts w:eastAsia="Times New Roman"/>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0"/>
    <w:pPr>
      <w:tabs>
        <w:tab w:val="left" w:pos="2127"/>
      </w:tabs>
      <w:spacing w:after="120" w:before="120" w:line="240" w:lineRule="auto"/>
      <w:ind w:left="2127"/>
      <w:jc w:val="both"/>
    </w:pPr>
    <w:rPr>
      <w:rFonts w:eastAsia="Times New Roman"/>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0"/>
    <w:pPr>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0"/>
    <w:pPr>
      <w:overflowPunct w:val="0"/>
      <w:autoSpaceDE w:val="0"/>
      <w:spacing w:after="120" w:line="240" w:lineRule="auto"/>
      <w:ind w:left="-108"/>
    </w:pPr>
    <w:rPr>
      <w:rFonts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0"/>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 w:customStyle="1">
    <w:name w:val="a"/>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name w:val="a0"/>
    <w:basedOn w:val="TableNormal"/>
    <w:rPr>
      <w:color w:val="366091"/>
    </w:rPr>
    <w:tblPr>
      <w:tblStyleRowBandSize w:val="1"/>
      <w:tblStyleColBandSize w:val="1"/>
    </w:tblPr>
  </w:style>
  <w:style w:type="table" w:styleId="a1" w:customStyle="1">
    <w:name w:val="a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587798"/>
    <w:rPr>
      <w:color w:val="0000ff" w:themeColor="hyperlink"/>
      <w:u w:val="single"/>
    </w:rPr>
  </w:style>
  <w:style w:type="character" w:styleId="UnresolvedMention">
    <w:name w:val="Unresolved Mention"/>
    <w:basedOn w:val="DefaultParagraphFont"/>
    <w:uiPriority w:val="99"/>
    <w:semiHidden w:val="1"/>
    <w:unhideWhenUsed w:val="1"/>
    <w:rsid w:val="00587798"/>
    <w:rPr>
      <w:color w:val="605e5c"/>
      <w:shd w:color="auto" w:fill="e1dfdd" w:val="clear"/>
    </w:rPr>
  </w:style>
  <w:style w:type="paragraph" w:styleId="DocID" w:customStyle="1">
    <w:name w:val="DocID"/>
    <w:basedOn w:val="Footer"/>
    <w:next w:val="Footer"/>
    <w:link w:val="DocIDChar"/>
    <w:rsid w:val="004D0317"/>
    <w:pPr>
      <w:tabs>
        <w:tab w:val="clear" w:pos="4513"/>
        <w:tab w:val="clear" w:pos="9026"/>
      </w:tabs>
    </w:pPr>
    <w:rPr>
      <w:rFonts w:ascii="Trebuchet MS" w:cs="Times New Roman" w:eastAsia="Times New Roman" w:hAnsi="Trebuchet MS"/>
      <w:sz w:val="16"/>
      <w:szCs w:val="20"/>
    </w:rPr>
  </w:style>
  <w:style w:type="character" w:styleId="CommentTextChar1" w:customStyle="1">
    <w:name w:val="Comment Text Char1"/>
    <w:basedOn w:val="DefaultParagraphFont"/>
    <w:link w:val="CommentText"/>
    <w:rsid w:val="004D0317"/>
    <w:rPr>
      <w:sz w:val="20"/>
      <w:szCs w:val="20"/>
    </w:rPr>
  </w:style>
  <w:style w:type="character" w:styleId="DocIDChar" w:customStyle="1">
    <w:name w:val="DocID Char"/>
    <w:basedOn w:val="CommentTextChar1"/>
    <w:link w:val="DocID"/>
    <w:rsid w:val="004D0317"/>
    <w:rPr>
      <w:rFonts w:ascii="Trebuchet MS" w:cs="Times New Roman" w:eastAsia="Times New Roman" w:hAnsi="Trebuchet MS"/>
      <w:color w:val="auto"/>
      <w:sz w:val="16"/>
      <w:szCs w:val="20"/>
      <w:lang w:eastAsia="en-GB" w:val="en-GB"/>
    </w:rPr>
  </w:style>
  <w:style w:type="table" w:styleId="Table1" w:customStyle="1">
    <w:name w:val="Table1"/>
    <w:basedOn w:val="TableNormal"/>
    <w:rPr>
      <w:color w:val="366091"/>
    </w:rPr>
    <w:tblPr>
      <w:tblStyleRowBandSize w:val="1"/>
      <w:tblStyleColBandSize w:val="1"/>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Table2" w:customStyle="1">
    <w:name w:val="Table2"/>
    <w:basedOn w:val="TableNormal"/>
    <w:rPr>
      <w:color w:val="366091"/>
    </w:rPr>
    <w:tblPr>
      <w:tblStyleRowBandSize w:val="1"/>
      <w:tblStyleColBandSize w:val="1"/>
    </w:tblPr>
  </w:style>
  <w:style w:type="table" w:styleId="Table3" w:customStyle="1">
    <w:name w:val="Table3"/>
    <w:basedOn w:val="TableNormal"/>
    <w:rPr>
      <w:color w:val="366091"/>
    </w:rPr>
    <w:tblPr>
      <w:tblStyleRowBandSize w:val="1"/>
      <w:tblStyleColBandSize w:val="1"/>
    </w:tblPr>
    <w:tblStylePr w:type="firstRow">
      <w:rPr>
        <w:b w:val="1"/>
        <w:bCs w:val="1"/>
      </w:rPr>
      <w:tblPr/>
      <w:tcPr>
        <w:tcBorders>
          <w:top w:space="0" w:sz="0" w:val="nil"/>
          <w:bottom w:color="95b3d7" w:space="0" w:sz="12" w:val="single"/>
          <w:insideH w:space="0" w:sz="0" w:val="nil"/>
          <w:insideV w:space="0" w:sz="0" w:val="nil"/>
        </w:tcBorders>
        <w:shd w:color="auto" w:fill="ffffff" w:val="clear"/>
      </w:tcPr>
    </w:tblStylePr>
    <w:tblStylePr w:type="lastRow">
      <w:rPr>
        <w:b w:val="1"/>
        <w:bCs w:val="1"/>
      </w:rPr>
      <w:tblPr/>
      <w:tcPr>
        <w:tcBorders>
          <w:top w:color="95b3d7" w:space="0" w:sz="4" w:val="single"/>
          <w:bottom w:space="0" w:sz="0" w:val="nil"/>
          <w:insideH w:space="0" w:sz="0" w:val="nil"/>
          <w:insideV w:space="0" w:sz="0" w:val="nil"/>
        </w:tcBorders>
        <w:shd w:color="auto" w:fill="ffffff" w:val="clear"/>
      </w:tcPr>
    </w:tblStylePr>
    <w:tblStylePr w:type="firstCol">
      <w:rPr>
        <w:b w:val="1"/>
        <w:bCs w:val="1"/>
      </w:rPr>
    </w:tblStylePr>
    <w:tblStylePr w:type="lastCol">
      <w:rPr>
        <w:b w:val="1"/>
        <w:bCs w:val="1"/>
      </w:rPr>
    </w:tblStylePr>
    <w:tblStylePr w:type="band1Vert">
      <w:tblPr/>
      <w:tcPr>
        <w:shd w:color="auto" w:fill="dbe5f1" w:val="clear"/>
      </w:tcPr>
    </w:tblStylePr>
    <w:tblStylePr w:type="band1Horz">
      <w:tblPr/>
      <w:tcPr>
        <w:shd w:color="auto" w:fill="dbe5f1" w:val="clear"/>
      </w:tcPr>
    </w:tblStylePr>
  </w:style>
  <w:style w:type="table" w:styleId="Table10" w:customStyle="1">
    <w:name w:val="Table1_0"/>
    <w:basedOn w:val="TableNormal"/>
    <w:rPr>
      <w:color w:val="366091"/>
    </w:rPr>
    <w:tblPr>
      <w:tblStyleRowBandSize w:val="1"/>
      <w:tblStyleColBandSize w:val="1"/>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Table20" w:customStyle="1">
    <w:name w:val="Table2_0"/>
    <w:basedOn w:val="TableNormal"/>
    <w:rPr>
      <w:color w:val="366091"/>
    </w:rPr>
    <w:tblPr>
      <w:tblStyleRowBandSize w:val="1"/>
      <w:tblStyleColBandSize w:val="1"/>
    </w:tblPr>
  </w:style>
  <w:style w:type="table" w:styleId="Table30" w:customStyle="1">
    <w:name w:val="Table3_0"/>
    <w:basedOn w:val="TableNormal"/>
    <w:rPr>
      <w:color w:val="366091"/>
    </w:rPr>
    <w:tblPr>
      <w:tblStyleRowBandSize w:val="1"/>
      <w:tblStyleColBandSize w:val="1"/>
    </w:tblPr>
    <w:tblStylePr w:type="firstRow">
      <w:rPr>
        <w:b w:val="1"/>
        <w:bCs w:val="1"/>
      </w:rPr>
      <w:tblPr/>
      <w:tcPr>
        <w:tcBorders>
          <w:top w:space="0" w:sz="0" w:val="nil"/>
          <w:bottom w:color="95b3d7" w:space="0" w:sz="12" w:val="single"/>
          <w:insideH w:space="0" w:sz="0" w:val="nil"/>
          <w:insideV w:space="0" w:sz="0" w:val="nil"/>
        </w:tcBorders>
        <w:shd w:color="auto" w:fill="ffffff" w:val="clear"/>
      </w:tcPr>
    </w:tblStylePr>
    <w:tblStylePr w:type="lastRow">
      <w:rPr>
        <w:b w:val="1"/>
        <w:bCs w:val="1"/>
      </w:rPr>
      <w:tblPr/>
      <w:tcPr>
        <w:tcBorders>
          <w:top w:color="95b3d7" w:space="0" w:sz="4" w:val="single"/>
          <w:bottom w:space="0" w:sz="0" w:val="nil"/>
          <w:insideH w:space="0" w:sz="0" w:val="nil"/>
          <w:insideV w:space="0" w:sz="0" w:val="nil"/>
        </w:tcBorders>
        <w:shd w:color="auto" w:fill="ffffff" w:val="clear"/>
      </w:tcPr>
    </w:tblStylePr>
    <w:tblStylePr w:type="firstCol">
      <w:rPr>
        <w:b w:val="1"/>
        <w:bCs w:val="1"/>
      </w:rPr>
    </w:tblStylePr>
    <w:tblStylePr w:type="lastCol">
      <w:rPr>
        <w:b w:val="1"/>
        <w:bCs w:val="1"/>
      </w:rPr>
    </w:tblStylePr>
    <w:tblStylePr w:type="band1Vert">
      <w:tblPr/>
      <w:tcPr>
        <w:shd w:color="auto" w:fill="dbe5f1" w:val="clear"/>
      </w:tcPr>
    </w:tblStylePr>
    <w:tblStylePr w:type="band1Horz">
      <w:tblPr/>
      <w:tcPr>
        <w:shd w:color="auto" w:fill="dbe5f1" w:val="clear"/>
      </w:tcPr>
    </w:tblStylePr>
  </w:style>
  <w:style w:type="table" w:styleId="aa" w:customStyle="1">
    <w:name w:val="aa"/>
    <w:basedOn w:val="TableNormal"/>
    <w:rsid w:val="00DC4475"/>
    <w:rPr>
      <w:rFonts w:ascii="Calibri" w:cs="Calibri" w:eastAsia="Calibri" w:hAnsi="Calibri"/>
      <w:color w:val="366091"/>
      <w:sz w:val="22"/>
      <w:szCs w:val="22"/>
      <w:lang w:eastAsia="en-GB" w:val="en-GB"/>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bCs w:val="1"/>
      </w:rPr>
    </w:tblStylePr>
    <w:tblStylePr w:type="firstRow">
      <w:pPr>
        <w:spacing w:after="0" w:before="0" w:line="240" w:lineRule="auto"/>
      </w:pPr>
      <w:rPr>
        <w:b w:val="1"/>
        <w:bCs w:val="1"/>
        <w:color w:val="ffffff"/>
      </w:rPr>
      <w:tcPr>
        <w:shd w:fill="000000" w:val="clear"/>
      </w:tcPr>
    </w:tblStylePr>
    <w:tblStylePr w:type="lastCol">
      <w:rPr>
        <w:b w:val="1"/>
        <w:bCs w:val="1"/>
      </w:rPr>
    </w:tblStylePr>
    <w:tblStylePr w:type="lastRow">
      <w:pPr>
        <w:spacing w:after="0" w:before="0" w:line="240" w:lineRule="auto"/>
      </w:pPr>
      <w:rPr>
        <w:b w:val="1"/>
        <w:bCs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color w:val="366091"/>
      <w:sz w:val="22"/>
      <w:szCs w:val="22"/>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bCs w:val="1"/>
      </w:rPr>
    </w:tblStylePr>
    <w:tblStylePr w:type="firstRow">
      <w:rPr>
        <w:b w:val="1"/>
        <w:bCs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bCs w:val="1"/>
      </w:rPr>
    </w:tblStylePr>
    <w:tblStylePr w:type="lastRow">
      <w:rPr>
        <w:b w:val="1"/>
        <w:bCs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6zQfRY7otHIKgotpMutVjMispw==">CgMxLjAyCGguZ2pkZ3hzOAByITFVQnZsSVRsT0FvTlZzVWk1czJjNEc5UUszejRBeDhrVA==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2026-01-30T14:45:00Z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100352</vt:lpwstr>
  </property>
  <property fmtid="{D5CDD505-2E9C-101B-9397-08002B2CF9AE}" pid="3" name="CUS_DocIDLocation">
    <vt:lpwstr>NO_DOC_ID</vt:lpwstr>
  </property>
  <property fmtid="{D5CDD505-2E9C-101B-9397-08002B2CF9AE}" pid="4" name="CUS_DocIDReference">
    <vt:lpwstr>noDocID</vt:lpwstr>
  </property>
  <property fmtid="{D5CDD505-2E9C-101B-9397-08002B2CF9AE}" pid="5" name="DWFFooter">
    <vt:lpwstr>90848118-1</vt:lpwstr>
  </property>
  <property fmtid="{D5CDD505-2E9C-101B-9397-08002B2CF9AE}" pid="6" name="iManageFooter">
    <vt:lpwstr>74218538v1</vt:lpwstr>
  </property>
</Properties>
</file>